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2F" w:rsidRPr="0044602F" w:rsidRDefault="0044602F" w:rsidP="0044602F">
      <w:pPr>
        <w:tabs>
          <w:tab w:val="left" w:pos="426"/>
          <w:tab w:val="left" w:pos="567"/>
          <w:tab w:val="left" w:pos="709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 ГОРОДСКАЯ ДУМА</w:t>
      </w:r>
    </w:p>
    <w:p w:rsidR="0044602F" w:rsidRPr="0044602F" w:rsidRDefault="0044602F" w:rsidP="0044602F">
      <w:pPr>
        <w:tabs>
          <w:tab w:val="left" w:pos="426"/>
          <w:tab w:val="left" w:pos="567"/>
          <w:tab w:val="left" w:pos="709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02F" w:rsidRPr="0044602F" w:rsidRDefault="0044602F" w:rsidP="0044602F">
      <w:pPr>
        <w:tabs>
          <w:tab w:val="left" w:pos="426"/>
          <w:tab w:val="left" w:pos="567"/>
          <w:tab w:val="left" w:pos="709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44602F" w:rsidRPr="0044602F" w:rsidRDefault="0044602F" w:rsidP="0044602F">
      <w:pPr>
        <w:tabs>
          <w:tab w:val="left" w:pos="426"/>
          <w:tab w:val="left" w:pos="567"/>
          <w:tab w:val="left" w:pos="709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02F" w:rsidRPr="0044602F" w:rsidRDefault="0044602F" w:rsidP="0044602F">
      <w:pPr>
        <w:tabs>
          <w:tab w:val="left" w:pos="426"/>
          <w:tab w:val="left" w:pos="567"/>
          <w:tab w:val="left" w:pos="70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1007</w:t>
      </w:r>
      <w:r w:rsidRPr="00446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«29» апреля 2014 г.</w:t>
      </w:r>
      <w:r w:rsidRPr="004460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60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60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60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60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60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4602F" w:rsidRPr="0044602F" w:rsidRDefault="0044602F" w:rsidP="0044602F">
      <w:pPr>
        <w:tabs>
          <w:tab w:val="left" w:pos="426"/>
          <w:tab w:val="left" w:pos="567"/>
          <w:tab w:val="left" w:pos="709"/>
        </w:tabs>
        <w:suppressAutoHyphens/>
        <w:spacing w:after="12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Принято на 42-й сессии </w:t>
      </w:r>
    </w:p>
    <w:p w:rsidR="0044602F" w:rsidRPr="0044602F" w:rsidRDefault="0044602F" w:rsidP="0044602F">
      <w:pPr>
        <w:tabs>
          <w:tab w:val="left" w:pos="426"/>
          <w:tab w:val="left" w:pos="567"/>
          <w:tab w:val="left" w:pos="709"/>
        </w:tabs>
        <w:suppressAutoHyphens/>
        <w:spacing w:after="12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602F">
        <w:rPr>
          <w:rFonts w:ascii="Times New Roman" w:eastAsia="Times New Roman" w:hAnsi="Times New Roman" w:cs="Times New Roman"/>
          <w:sz w:val="20"/>
          <w:szCs w:val="20"/>
          <w:lang w:eastAsia="ru-RU"/>
        </w:rPr>
        <w:t>Псковской городской Думы</w:t>
      </w:r>
    </w:p>
    <w:p w:rsidR="00F5627D" w:rsidRDefault="0044602F" w:rsidP="0044602F">
      <w:pPr>
        <w:tabs>
          <w:tab w:val="left" w:pos="426"/>
          <w:tab w:val="left" w:pos="567"/>
          <w:tab w:val="left" w:pos="709"/>
        </w:tabs>
        <w:suppressAutoHyphens/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602F">
        <w:rPr>
          <w:rFonts w:ascii="Times New Roman" w:eastAsia="Times New Roman" w:hAnsi="Times New Roman" w:cs="Times New Roman"/>
          <w:sz w:val="20"/>
          <w:szCs w:val="20"/>
          <w:lang w:eastAsia="ru-RU"/>
        </w:rPr>
        <w:t>5-го созыва</w:t>
      </w:r>
      <w:bookmarkStart w:id="0" w:name="_GoBack"/>
      <w:bookmarkEnd w:id="0"/>
    </w:p>
    <w:p w:rsidR="00F5627D" w:rsidRDefault="00F5627D" w:rsidP="00F5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990" w:rsidRDefault="006E00B1" w:rsidP="00F5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B1">
        <w:rPr>
          <w:rFonts w:ascii="Times New Roman" w:hAnsi="Times New Roman" w:cs="Times New Roman"/>
          <w:sz w:val="24"/>
          <w:szCs w:val="24"/>
        </w:rPr>
        <w:t>О</w:t>
      </w:r>
      <w:r w:rsidR="00571990">
        <w:rPr>
          <w:rFonts w:ascii="Times New Roman" w:hAnsi="Times New Roman" w:cs="Times New Roman"/>
          <w:sz w:val="24"/>
          <w:szCs w:val="24"/>
        </w:rPr>
        <w:t>б утверждении Положения</w:t>
      </w:r>
      <w:r w:rsidR="00571990" w:rsidRPr="00571990">
        <w:rPr>
          <w:rFonts w:ascii="Times New Roman" w:hAnsi="Times New Roman" w:cs="Times New Roman"/>
          <w:sz w:val="24"/>
          <w:szCs w:val="24"/>
        </w:rPr>
        <w:t xml:space="preserve"> о сообщении</w:t>
      </w:r>
    </w:p>
    <w:p w:rsidR="00B37801" w:rsidRDefault="00B37801" w:rsidP="00F5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801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должности, </w:t>
      </w:r>
    </w:p>
    <w:p w:rsidR="00B37801" w:rsidRDefault="00B37801" w:rsidP="00F5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801">
        <w:rPr>
          <w:rFonts w:ascii="Times New Roman" w:hAnsi="Times New Roman" w:cs="Times New Roman"/>
          <w:sz w:val="24"/>
          <w:szCs w:val="24"/>
        </w:rPr>
        <w:t>муниципальными служащими муниципального образования</w:t>
      </w:r>
    </w:p>
    <w:p w:rsidR="00571990" w:rsidRDefault="00B37801" w:rsidP="00F5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Псков» </w:t>
      </w:r>
      <w:r w:rsidR="00571990" w:rsidRPr="00571990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571990" w:rsidRDefault="00571990" w:rsidP="00F5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90">
        <w:rPr>
          <w:rFonts w:ascii="Times New Roman" w:hAnsi="Times New Roman" w:cs="Times New Roman"/>
          <w:sz w:val="24"/>
          <w:szCs w:val="24"/>
        </w:rPr>
        <w:t>в связи с их должностным положением или</w:t>
      </w:r>
    </w:p>
    <w:p w:rsidR="00571990" w:rsidRDefault="00571990" w:rsidP="00F5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90">
        <w:rPr>
          <w:rFonts w:ascii="Times New Roman" w:hAnsi="Times New Roman" w:cs="Times New Roman"/>
          <w:sz w:val="24"/>
          <w:szCs w:val="24"/>
        </w:rPr>
        <w:t>исполнением ими служебных (должностных) обязанностей,</w:t>
      </w:r>
    </w:p>
    <w:p w:rsidR="00571990" w:rsidRDefault="00571990" w:rsidP="00F5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90">
        <w:rPr>
          <w:rFonts w:ascii="Times New Roman" w:hAnsi="Times New Roman" w:cs="Times New Roman"/>
          <w:sz w:val="24"/>
          <w:szCs w:val="24"/>
        </w:rPr>
        <w:t>сдаче и оценке подарка, реализации (выкупе) и</w:t>
      </w:r>
    </w:p>
    <w:p w:rsidR="006E00B1" w:rsidRPr="006E00B1" w:rsidRDefault="00571990" w:rsidP="00F5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990">
        <w:rPr>
          <w:rFonts w:ascii="Times New Roman" w:hAnsi="Times New Roman" w:cs="Times New Roman"/>
          <w:sz w:val="24"/>
          <w:szCs w:val="24"/>
        </w:rPr>
        <w:t>зачислении</w:t>
      </w:r>
      <w:proofErr w:type="gramEnd"/>
      <w:r w:rsidRPr="00571990">
        <w:rPr>
          <w:rFonts w:ascii="Times New Roman" w:hAnsi="Times New Roman" w:cs="Times New Roman"/>
          <w:sz w:val="24"/>
          <w:szCs w:val="24"/>
        </w:rPr>
        <w:t xml:space="preserve"> средств, вырученных от его реализации</w:t>
      </w:r>
    </w:p>
    <w:p w:rsidR="006E00B1" w:rsidRDefault="006E00B1" w:rsidP="006E0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27D" w:rsidRPr="006E00B1" w:rsidRDefault="00F5627D" w:rsidP="006E0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0B1" w:rsidRPr="006E00B1" w:rsidRDefault="002F4984" w:rsidP="0034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984">
        <w:rPr>
          <w:rFonts w:ascii="Times New Roman" w:hAnsi="Times New Roman" w:cs="Times New Roman"/>
          <w:sz w:val="24"/>
          <w:szCs w:val="24"/>
        </w:rPr>
        <w:t>В соответствии с подпунктом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F498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984">
        <w:rPr>
          <w:rFonts w:ascii="Times New Roman" w:hAnsi="Times New Roman" w:cs="Times New Roman"/>
          <w:sz w:val="24"/>
          <w:szCs w:val="24"/>
        </w:rPr>
        <w:t xml:space="preserve"> пункта 4 Национального плана противодействия коррупции на 2012 - 2013 годы, утвержденного Указом Президента Российской Федерации от 13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2F4984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2F4984">
        <w:rPr>
          <w:rFonts w:ascii="Times New Roman" w:hAnsi="Times New Roman" w:cs="Times New Roman"/>
          <w:sz w:val="24"/>
          <w:szCs w:val="24"/>
        </w:rPr>
        <w:t xml:space="preserve"> 297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F4984">
        <w:rPr>
          <w:rFonts w:ascii="Times New Roman" w:hAnsi="Times New Roman" w:cs="Times New Roman"/>
          <w:sz w:val="24"/>
          <w:szCs w:val="24"/>
        </w:rPr>
        <w:t>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4984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F4984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 от 09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2F4984">
        <w:rPr>
          <w:rFonts w:ascii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F4984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4984">
        <w:rPr>
          <w:rFonts w:ascii="Times New Roman" w:hAnsi="Times New Roman" w:cs="Times New Roman"/>
          <w:sz w:val="24"/>
          <w:szCs w:val="24"/>
        </w:rPr>
        <w:t>О порядке сообщения отдельными категориями лиц</w:t>
      </w:r>
      <w:proofErr w:type="gramEnd"/>
      <w:r w:rsidRPr="002F49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4984">
        <w:rPr>
          <w:rFonts w:ascii="Times New Roman" w:hAnsi="Times New Roman" w:cs="Times New Roman"/>
          <w:sz w:val="24"/>
          <w:szCs w:val="24"/>
        </w:rPr>
        <w:t>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3461E9" w:rsidRPr="003461E9">
        <w:rPr>
          <w:rFonts w:ascii="Times New Roman" w:hAnsi="Times New Roman" w:cs="Times New Roman"/>
          <w:sz w:val="24"/>
          <w:szCs w:val="24"/>
        </w:rPr>
        <w:t>Постановлени</w:t>
      </w:r>
      <w:r w:rsidR="003461E9">
        <w:rPr>
          <w:rFonts w:ascii="Times New Roman" w:hAnsi="Times New Roman" w:cs="Times New Roman"/>
          <w:sz w:val="24"/>
          <w:szCs w:val="24"/>
        </w:rPr>
        <w:t>я</w:t>
      </w:r>
      <w:r w:rsidR="003461E9" w:rsidRPr="003461E9">
        <w:rPr>
          <w:rFonts w:ascii="Times New Roman" w:hAnsi="Times New Roman" w:cs="Times New Roman"/>
          <w:sz w:val="24"/>
          <w:szCs w:val="24"/>
        </w:rPr>
        <w:t xml:space="preserve"> Администрации П</w:t>
      </w:r>
      <w:r w:rsidR="003461E9">
        <w:rPr>
          <w:rFonts w:ascii="Times New Roman" w:hAnsi="Times New Roman" w:cs="Times New Roman"/>
          <w:sz w:val="24"/>
          <w:szCs w:val="24"/>
        </w:rPr>
        <w:t>сковской области от 14.02.2014 №</w:t>
      </w:r>
      <w:r w:rsidR="003461E9" w:rsidRPr="003461E9">
        <w:rPr>
          <w:rFonts w:ascii="Times New Roman" w:hAnsi="Times New Roman" w:cs="Times New Roman"/>
          <w:sz w:val="24"/>
          <w:szCs w:val="24"/>
        </w:rPr>
        <w:t xml:space="preserve"> 50</w:t>
      </w:r>
      <w:r w:rsidR="003461E9">
        <w:rPr>
          <w:rFonts w:ascii="Times New Roman" w:hAnsi="Times New Roman" w:cs="Times New Roman"/>
          <w:sz w:val="24"/>
          <w:szCs w:val="24"/>
        </w:rPr>
        <w:t xml:space="preserve"> «</w:t>
      </w:r>
      <w:r w:rsidR="003461E9" w:rsidRPr="003461E9">
        <w:rPr>
          <w:rFonts w:ascii="Times New Roman" w:hAnsi="Times New Roman" w:cs="Times New Roman"/>
          <w:sz w:val="24"/>
          <w:szCs w:val="24"/>
        </w:rPr>
        <w:t>Об утверждении Положения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</w:t>
      </w:r>
      <w:proofErr w:type="gramEnd"/>
      <w:r w:rsidR="003461E9" w:rsidRPr="003461E9">
        <w:rPr>
          <w:rFonts w:ascii="Times New Roman" w:hAnsi="Times New Roman" w:cs="Times New Roman"/>
          <w:sz w:val="24"/>
          <w:szCs w:val="24"/>
        </w:rPr>
        <w:t xml:space="preserve"> оценке подарка, реализации (выкупа) и зачислении средств, вырученных от его реализации</w:t>
      </w:r>
      <w:r w:rsidR="003461E9">
        <w:rPr>
          <w:rFonts w:ascii="Times New Roman" w:hAnsi="Times New Roman" w:cs="Times New Roman"/>
          <w:sz w:val="24"/>
          <w:szCs w:val="24"/>
        </w:rPr>
        <w:t xml:space="preserve">»,  </w:t>
      </w:r>
      <w:r w:rsidR="006E00B1" w:rsidRPr="006E00B1">
        <w:rPr>
          <w:rFonts w:ascii="Times New Roman" w:hAnsi="Times New Roman" w:cs="Times New Roman"/>
          <w:sz w:val="24"/>
          <w:szCs w:val="24"/>
        </w:rPr>
        <w:t>в  соответствии</w:t>
      </w:r>
      <w:r w:rsidR="003461E9">
        <w:rPr>
          <w:rFonts w:ascii="Times New Roman" w:hAnsi="Times New Roman" w:cs="Times New Roman"/>
          <w:sz w:val="24"/>
          <w:szCs w:val="24"/>
        </w:rPr>
        <w:t xml:space="preserve"> </w:t>
      </w:r>
      <w:r w:rsidR="006E00B1" w:rsidRPr="006E00B1">
        <w:rPr>
          <w:rFonts w:ascii="Times New Roman" w:hAnsi="Times New Roman" w:cs="Times New Roman"/>
          <w:sz w:val="24"/>
          <w:szCs w:val="24"/>
        </w:rPr>
        <w:t xml:space="preserve"> с Федеральным законом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E00B1" w:rsidRPr="006E00B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.10.</w:t>
      </w:r>
      <w:r w:rsidR="006E00B1" w:rsidRPr="006E00B1">
        <w:rPr>
          <w:rFonts w:ascii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6E00B1" w:rsidRPr="006E00B1" w:rsidRDefault="006E00B1" w:rsidP="006E0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0B1" w:rsidRPr="006E00B1" w:rsidRDefault="006E00B1" w:rsidP="006E00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0B1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6E00B1" w:rsidRPr="006E00B1" w:rsidRDefault="006E00B1" w:rsidP="006E00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0B1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6E00B1" w:rsidRPr="006E00B1" w:rsidRDefault="006E00B1" w:rsidP="006E0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984" w:rsidRPr="002F4984" w:rsidRDefault="002F4984" w:rsidP="002F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984">
        <w:rPr>
          <w:rFonts w:ascii="Times New Roman" w:hAnsi="Times New Roman" w:cs="Times New Roman"/>
          <w:sz w:val="24"/>
          <w:szCs w:val="24"/>
        </w:rPr>
        <w:t xml:space="preserve">1. Утвердить Положение о сообщении </w:t>
      </w:r>
      <w:r w:rsidR="00B37801" w:rsidRPr="00B37801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должности, муниципальными служащими муниципального образования </w:t>
      </w:r>
      <w:r w:rsidR="00B37801">
        <w:rPr>
          <w:rFonts w:ascii="Times New Roman" w:hAnsi="Times New Roman" w:cs="Times New Roman"/>
          <w:sz w:val="24"/>
          <w:szCs w:val="24"/>
        </w:rPr>
        <w:t xml:space="preserve">«Город Псков» </w:t>
      </w:r>
      <w:r w:rsidRPr="002F4984">
        <w:rPr>
          <w:rFonts w:ascii="Times New Roman" w:hAnsi="Times New Roman" w:cs="Times New Roman"/>
          <w:sz w:val="24"/>
          <w:szCs w:val="24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зачислении средст</w:t>
      </w:r>
      <w:r w:rsidR="00F5627D">
        <w:rPr>
          <w:rFonts w:ascii="Times New Roman" w:hAnsi="Times New Roman" w:cs="Times New Roman"/>
          <w:sz w:val="24"/>
          <w:szCs w:val="24"/>
        </w:rPr>
        <w:t>в, вырученных от его реализации согласно Приложению к настоящему Решению.</w:t>
      </w:r>
    </w:p>
    <w:p w:rsidR="003461E9" w:rsidRPr="003461E9" w:rsidRDefault="002F4984" w:rsidP="0034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984">
        <w:rPr>
          <w:rFonts w:ascii="Times New Roman" w:hAnsi="Times New Roman" w:cs="Times New Roman"/>
          <w:sz w:val="24"/>
          <w:szCs w:val="24"/>
        </w:rPr>
        <w:t xml:space="preserve">2. </w:t>
      </w:r>
      <w:r w:rsidR="003461E9" w:rsidRPr="003461E9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3461E9" w:rsidRPr="003461E9" w:rsidRDefault="008A3785" w:rsidP="0034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61E9" w:rsidRPr="003461E9">
        <w:rPr>
          <w:rFonts w:ascii="Times New Roman" w:hAnsi="Times New Roman" w:cs="Times New Roman"/>
          <w:sz w:val="24"/>
          <w:szCs w:val="24"/>
        </w:rPr>
        <w:t>. Опубликовать настоящ</w:t>
      </w:r>
      <w:r w:rsidR="003461E9">
        <w:rPr>
          <w:rFonts w:ascii="Times New Roman" w:hAnsi="Times New Roman" w:cs="Times New Roman"/>
          <w:sz w:val="24"/>
          <w:szCs w:val="24"/>
        </w:rPr>
        <w:t>ее Решение в газете «Псковские Н</w:t>
      </w:r>
      <w:r w:rsidR="003461E9" w:rsidRPr="003461E9">
        <w:rPr>
          <w:rFonts w:ascii="Times New Roman" w:hAnsi="Times New Roman" w:cs="Times New Roman"/>
          <w:sz w:val="24"/>
          <w:szCs w:val="24"/>
        </w:rPr>
        <w:t>овости» и разместить на официальном сайте муниципального образования «Город Псков».</w:t>
      </w:r>
    </w:p>
    <w:p w:rsidR="00800F19" w:rsidRDefault="00800F19" w:rsidP="006E0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6E0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6E0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0B1" w:rsidRPr="006E00B1" w:rsidRDefault="00800F19" w:rsidP="00F5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19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Pr="00800F19">
        <w:rPr>
          <w:rFonts w:ascii="Times New Roman" w:hAnsi="Times New Roman" w:cs="Times New Roman"/>
          <w:sz w:val="24"/>
          <w:szCs w:val="24"/>
        </w:rPr>
        <w:tab/>
      </w:r>
      <w:r w:rsidRPr="00800F19">
        <w:rPr>
          <w:rFonts w:ascii="Times New Roman" w:hAnsi="Times New Roman" w:cs="Times New Roman"/>
          <w:sz w:val="24"/>
          <w:szCs w:val="24"/>
        </w:rPr>
        <w:tab/>
      </w:r>
      <w:r w:rsidRPr="00800F19">
        <w:rPr>
          <w:rFonts w:ascii="Times New Roman" w:hAnsi="Times New Roman" w:cs="Times New Roman"/>
          <w:sz w:val="24"/>
          <w:szCs w:val="24"/>
        </w:rPr>
        <w:tab/>
      </w:r>
      <w:r w:rsidRPr="00800F19">
        <w:rPr>
          <w:rFonts w:ascii="Times New Roman" w:hAnsi="Times New Roman" w:cs="Times New Roman"/>
          <w:sz w:val="24"/>
          <w:szCs w:val="24"/>
        </w:rPr>
        <w:tab/>
      </w:r>
      <w:r w:rsidRPr="00800F19">
        <w:rPr>
          <w:rFonts w:ascii="Times New Roman" w:hAnsi="Times New Roman" w:cs="Times New Roman"/>
          <w:sz w:val="24"/>
          <w:szCs w:val="24"/>
        </w:rPr>
        <w:tab/>
      </w:r>
      <w:r w:rsidRPr="00800F1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562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00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19">
        <w:rPr>
          <w:rFonts w:ascii="Times New Roman" w:hAnsi="Times New Roman" w:cs="Times New Roman"/>
          <w:sz w:val="24"/>
          <w:szCs w:val="24"/>
        </w:rPr>
        <w:t>И.Н.Цецерский</w:t>
      </w:r>
      <w:proofErr w:type="spellEnd"/>
    </w:p>
    <w:p w:rsidR="00800F19" w:rsidRDefault="00800F19" w:rsidP="006E0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F5627D" w:rsidRDefault="00F5627D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Псковской городской Думы</w:t>
      </w:r>
    </w:p>
    <w:p w:rsidR="003461E9" w:rsidRDefault="003461E9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1E9">
        <w:rPr>
          <w:rFonts w:ascii="Times New Roman" w:hAnsi="Times New Roman" w:cs="Times New Roman"/>
          <w:sz w:val="24"/>
          <w:szCs w:val="24"/>
        </w:rPr>
        <w:t>от _____________</w:t>
      </w:r>
      <w:r w:rsidR="00F5627D">
        <w:rPr>
          <w:rFonts w:ascii="Times New Roman" w:hAnsi="Times New Roman" w:cs="Times New Roman"/>
          <w:sz w:val="24"/>
          <w:szCs w:val="24"/>
        </w:rPr>
        <w:t>____</w:t>
      </w:r>
      <w:r w:rsidRPr="003461E9">
        <w:rPr>
          <w:rFonts w:ascii="Times New Roman" w:hAnsi="Times New Roman" w:cs="Times New Roman"/>
          <w:sz w:val="24"/>
          <w:szCs w:val="24"/>
        </w:rPr>
        <w:t>_  № ____</w:t>
      </w:r>
    </w:p>
    <w:p w:rsidR="00BB1DB8" w:rsidRDefault="00BB1DB8" w:rsidP="003461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B1DB8" w:rsidRPr="003461E9" w:rsidRDefault="00BB1DB8" w:rsidP="00346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DB8" w:rsidRPr="003461E9" w:rsidRDefault="00BB1DB8" w:rsidP="00346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1E9" w:rsidRDefault="003461E9" w:rsidP="00346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1E9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B1DB8" w:rsidRPr="003461E9" w:rsidRDefault="003461E9" w:rsidP="00346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1E9">
        <w:rPr>
          <w:rFonts w:ascii="Times New Roman" w:hAnsi="Times New Roman" w:cs="Times New Roman"/>
          <w:b/>
          <w:sz w:val="24"/>
          <w:szCs w:val="24"/>
        </w:rPr>
        <w:lastRenderedPageBreak/>
        <w:t>О СООБЩЕНИИ  ЛИЦАМИ, ЗАМЕЩАЮЩИМИ МУНИЦИПАЛЬНЫЕ ДОЛЖНОСТИ, МУНИЦИПАЛЬНЫМИ СЛУЖАЩИМИ МУНИЦИПАЛЬНОГО ОБРАЗОВАНИЯ «ГОРОД ПСКОВ»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ЗАЧИСЛЕНИИ СРЕДСТВ, ВЫРУЧЕННЫХ ОТ ЕГО РЕАЛИЗАЦИИ.</w:t>
      </w:r>
    </w:p>
    <w:p w:rsidR="003461E9" w:rsidRDefault="003461E9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1E9" w:rsidRPr="00BB1DB8" w:rsidRDefault="003461E9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B1DB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3461E9">
        <w:rPr>
          <w:rFonts w:ascii="Times New Roman" w:hAnsi="Times New Roman" w:cs="Times New Roman"/>
          <w:sz w:val="24"/>
          <w:szCs w:val="24"/>
        </w:rPr>
        <w:t>П</w:t>
      </w:r>
      <w:r w:rsidRPr="00BB1DB8">
        <w:rPr>
          <w:rFonts w:ascii="Times New Roman" w:hAnsi="Times New Roman" w:cs="Times New Roman"/>
          <w:sz w:val="24"/>
          <w:szCs w:val="24"/>
        </w:rPr>
        <w:t xml:space="preserve">оложение определяет порядок сообщения </w:t>
      </w:r>
      <w:r w:rsidR="003461E9" w:rsidRPr="003461E9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должности, муниципальными служащими муниципального образования «Город Псков»</w:t>
      </w:r>
      <w:r w:rsidR="003461E9">
        <w:rPr>
          <w:rFonts w:ascii="Times New Roman" w:hAnsi="Times New Roman" w:cs="Times New Roman"/>
          <w:sz w:val="24"/>
          <w:szCs w:val="24"/>
        </w:rPr>
        <w:t xml:space="preserve"> </w:t>
      </w:r>
      <w:r w:rsidRPr="00BB1DB8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2. Для целей настоящего </w:t>
      </w:r>
      <w:r w:rsidR="003461E9">
        <w:rPr>
          <w:rFonts w:ascii="Times New Roman" w:hAnsi="Times New Roman" w:cs="Times New Roman"/>
          <w:sz w:val="24"/>
          <w:szCs w:val="24"/>
        </w:rPr>
        <w:t>П</w:t>
      </w:r>
      <w:r w:rsidRPr="00BB1DB8">
        <w:rPr>
          <w:rFonts w:ascii="Times New Roman" w:hAnsi="Times New Roman" w:cs="Times New Roman"/>
          <w:sz w:val="24"/>
          <w:szCs w:val="24"/>
        </w:rPr>
        <w:t>оложения используются следующие понятия:</w:t>
      </w:r>
    </w:p>
    <w:p w:rsidR="00BB1DB8" w:rsidRPr="00BB1DB8" w:rsidRDefault="003461E9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BB1DB8" w:rsidRPr="00BB1DB8">
        <w:rPr>
          <w:rFonts w:ascii="Times New Roman" w:hAnsi="Times New Roman" w:cs="Times New Roman"/>
          <w:sz w:val="24"/>
          <w:szCs w:val="24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B1DB8" w:rsidRPr="00BB1DB8">
        <w:rPr>
          <w:rFonts w:ascii="Times New Roman" w:hAnsi="Times New Roman" w:cs="Times New Roman"/>
          <w:sz w:val="24"/>
          <w:szCs w:val="24"/>
        </w:rPr>
        <w:t xml:space="preserve"> - подарок, полученный лицом, замещающим </w:t>
      </w:r>
      <w:r w:rsidRPr="003461E9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461E9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461E9">
        <w:rPr>
          <w:rFonts w:ascii="Times New Roman" w:hAnsi="Times New Roman" w:cs="Times New Roman"/>
          <w:sz w:val="24"/>
          <w:szCs w:val="24"/>
        </w:rPr>
        <w:t>, муниципальным служащим муниципального образования «Город Псков»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DB8" w:rsidRPr="00BB1DB8">
        <w:rPr>
          <w:rFonts w:ascii="Times New Roman" w:hAnsi="Times New Roman" w:cs="Times New Roman"/>
          <w:sz w:val="24"/>
          <w:szCs w:val="24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</w:t>
      </w:r>
      <w:proofErr w:type="gramEnd"/>
      <w:r w:rsidR="00BB1DB8" w:rsidRPr="00BB1DB8">
        <w:rPr>
          <w:rFonts w:ascii="Times New Roman" w:hAnsi="Times New Roman" w:cs="Times New Roman"/>
          <w:sz w:val="24"/>
          <w:szCs w:val="24"/>
        </w:rPr>
        <w:t xml:space="preserve">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B1DB8" w:rsidRPr="00BB1DB8" w:rsidRDefault="003461E9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BB1DB8" w:rsidRPr="00BB1DB8">
        <w:rPr>
          <w:rFonts w:ascii="Times New Roman" w:hAnsi="Times New Roman" w:cs="Times New Roman"/>
          <w:sz w:val="24"/>
          <w:szCs w:val="24"/>
        </w:rPr>
        <w:t>получение подарка в связи с должностным положением или в связи с исполнением служебных (должностных) обязанностей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B1DB8" w:rsidRPr="00BB1DB8">
        <w:rPr>
          <w:rFonts w:ascii="Times New Roman" w:hAnsi="Times New Roman" w:cs="Times New Roman"/>
          <w:sz w:val="24"/>
          <w:szCs w:val="24"/>
        </w:rPr>
        <w:t xml:space="preserve"> - получение лицом, замещающим </w:t>
      </w:r>
      <w:r w:rsidRPr="003461E9">
        <w:rPr>
          <w:rFonts w:ascii="Times New Roman" w:hAnsi="Times New Roman" w:cs="Times New Roman"/>
          <w:sz w:val="24"/>
          <w:szCs w:val="24"/>
        </w:rPr>
        <w:t xml:space="preserve">муниципальную должность, муниципальным служащим муниципального образования «Город Псков» </w:t>
      </w:r>
      <w:r w:rsidR="00BB1DB8" w:rsidRPr="00BB1DB8">
        <w:rPr>
          <w:rFonts w:ascii="Times New Roman" w:hAnsi="Times New Roman" w:cs="Times New Roman"/>
          <w:sz w:val="24"/>
          <w:szCs w:val="24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</w:t>
      </w:r>
      <w:proofErr w:type="gramEnd"/>
      <w:r w:rsidR="00BB1DB8" w:rsidRPr="00BB1DB8">
        <w:rPr>
          <w:rFonts w:ascii="Times New Roman" w:hAnsi="Times New Roman" w:cs="Times New Roman"/>
          <w:sz w:val="24"/>
          <w:szCs w:val="24"/>
        </w:rPr>
        <w:t xml:space="preserve">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3. Лица, замещающие </w:t>
      </w:r>
      <w:r w:rsidR="003461E9" w:rsidRPr="003461E9">
        <w:rPr>
          <w:rFonts w:ascii="Times New Roman" w:hAnsi="Times New Roman" w:cs="Times New Roman"/>
          <w:sz w:val="24"/>
          <w:szCs w:val="24"/>
        </w:rPr>
        <w:t>муниципальную должность, муниципальны</w:t>
      </w:r>
      <w:r w:rsidR="003461E9">
        <w:rPr>
          <w:rFonts w:ascii="Times New Roman" w:hAnsi="Times New Roman" w:cs="Times New Roman"/>
          <w:sz w:val="24"/>
          <w:szCs w:val="24"/>
        </w:rPr>
        <w:t>е</w:t>
      </w:r>
      <w:r w:rsidR="003461E9" w:rsidRPr="003461E9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3461E9">
        <w:rPr>
          <w:rFonts w:ascii="Times New Roman" w:hAnsi="Times New Roman" w:cs="Times New Roman"/>
          <w:sz w:val="24"/>
          <w:szCs w:val="24"/>
        </w:rPr>
        <w:t>е</w:t>
      </w:r>
      <w:r w:rsidR="003461E9" w:rsidRPr="003461E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Псков» </w:t>
      </w:r>
      <w:r w:rsidRPr="00BB1DB8">
        <w:rPr>
          <w:rFonts w:ascii="Times New Roman" w:hAnsi="Times New Roman" w:cs="Times New Roman"/>
          <w:sz w:val="24"/>
          <w:szCs w:val="24"/>
        </w:rPr>
        <w:t xml:space="preserve">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4. Лица, замещающие </w:t>
      </w:r>
      <w:r w:rsidR="003461E9" w:rsidRPr="003461E9">
        <w:rPr>
          <w:rFonts w:ascii="Times New Roman" w:hAnsi="Times New Roman" w:cs="Times New Roman"/>
          <w:sz w:val="24"/>
          <w:szCs w:val="24"/>
        </w:rPr>
        <w:t xml:space="preserve">муниципальную должность, муниципальные служащие муниципального образования «Город Псков»  </w:t>
      </w:r>
      <w:r w:rsidRPr="00BB1DB8">
        <w:rPr>
          <w:rFonts w:ascii="Times New Roman" w:hAnsi="Times New Roman" w:cs="Times New Roman"/>
          <w:sz w:val="24"/>
          <w:szCs w:val="24"/>
        </w:rPr>
        <w:t xml:space="preserve"> обязаны в порядке, предусмотренном настоящим </w:t>
      </w:r>
      <w:r w:rsidR="003461E9">
        <w:rPr>
          <w:rFonts w:ascii="Times New Roman" w:hAnsi="Times New Roman" w:cs="Times New Roman"/>
          <w:sz w:val="24"/>
          <w:szCs w:val="24"/>
        </w:rPr>
        <w:t>П</w:t>
      </w:r>
      <w:r w:rsidRPr="00BB1DB8">
        <w:rPr>
          <w:rFonts w:ascii="Times New Roman" w:hAnsi="Times New Roman" w:cs="Times New Roman"/>
          <w:sz w:val="24"/>
          <w:szCs w:val="24"/>
        </w:rPr>
        <w:t xml:space="preserve">оложением, уведомлять обо всех случаях получения подарка в связи с их должностным положением или исполнением ими служебных (должностных) обязанностей </w:t>
      </w:r>
      <w:r w:rsidR="005D4070"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Pr="00BB1DB8">
        <w:rPr>
          <w:rFonts w:ascii="Times New Roman" w:hAnsi="Times New Roman" w:cs="Times New Roman"/>
          <w:sz w:val="24"/>
          <w:szCs w:val="24"/>
        </w:rPr>
        <w:t>, в которых указанные лица проходят муниципальную службу или осуществляют трудовую деятельность.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B1DB8">
        <w:rPr>
          <w:rFonts w:ascii="Times New Roman" w:hAnsi="Times New Roman" w:cs="Times New Roman"/>
          <w:sz w:val="24"/>
          <w:szCs w:val="24"/>
        </w:rPr>
        <w:t>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органа</w:t>
      </w:r>
      <w:r w:rsidR="005D4070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BB1DB8">
        <w:rPr>
          <w:rFonts w:ascii="Times New Roman" w:hAnsi="Times New Roman" w:cs="Times New Roman"/>
          <w:sz w:val="24"/>
          <w:szCs w:val="24"/>
        </w:rPr>
        <w:t>, в котор</w:t>
      </w:r>
      <w:r w:rsidR="005D4070">
        <w:rPr>
          <w:rFonts w:ascii="Times New Roman" w:hAnsi="Times New Roman" w:cs="Times New Roman"/>
          <w:sz w:val="24"/>
          <w:szCs w:val="24"/>
        </w:rPr>
        <w:t>ом</w:t>
      </w:r>
      <w:r w:rsidRPr="00BB1DB8">
        <w:rPr>
          <w:rFonts w:ascii="Times New Roman" w:hAnsi="Times New Roman" w:cs="Times New Roman"/>
          <w:sz w:val="24"/>
          <w:szCs w:val="24"/>
        </w:rPr>
        <w:t xml:space="preserve"> лицо, замещающее муниципальную должность, </w:t>
      </w:r>
      <w:r w:rsidR="005D407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BB1DB8">
        <w:rPr>
          <w:rFonts w:ascii="Times New Roman" w:hAnsi="Times New Roman" w:cs="Times New Roman"/>
          <w:sz w:val="24"/>
          <w:szCs w:val="24"/>
        </w:rPr>
        <w:t>служащий проходят муниципальную службу или осуществляют трудовую деятельность (далее - уполномоченное структурное подразделение</w:t>
      </w:r>
      <w:r w:rsidR="00B2536B">
        <w:rPr>
          <w:rFonts w:ascii="Times New Roman" w:hAnsi="Times New Roman" w:cs="Times New Roman"/>
          <w:sz w:val="24"/>
          <w:szCs w:val="24"/>
        </w:rPr>
        <w:t>)</w:t>
      </w:r>
      <w:r w:rsidRPr="00BB1D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36B">
        <w:rPr>
          <w:rFonts w:ascii="Times New Roman" w:hAnsi="Times New Roman" w:cs="Times New Roman"/>
          <w:sz w:val="24"/>
          <w:szCs w:val="24"/>
        </w:rPr>
        <w:t xml:space="preserve"> Уполномоченное структурное подразделение определяется муниципальным </w:t>
      </w:r>
      <w:r w:rsidR="00B2536B">
        <w:rPr>
          <w:rFonts w:ascii="Times New Roman" w:hAnsi="Times New Roman" w:cs="Times New Roman"/>
          <w:sz w:val="24"/>
          <w:szCs w:val="24"/>
        </w:rPr>
        <w:lastRenderedPageBreak/>
        <w:t>правовым актом соответствующего органа местного самоуправления.</w:t>
      </w:r>
      <w:r w:rsidR="00B2536B" w:rsidRPr="00BB1DB8">
        <w:rPr>
          <w:rFonts w:ascii="Times New Roman" w:hAnsi="Times New Roman" w:cs="Times New Roman"/>
          <w:sz w:val="24"/>
          <w:szCs w:val="24"/>
        </w:rPr>
        <w:t xml:space="preserve"> </w:t>
      </w:r>
      <w:r w:rsidRPr="00BB1DB8">
        <w:rPr>
          <w:rFonts w:ascii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</w:t>
      </w:r>
      <w:r w:rsidR="005D407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B1DB8">
        <w:rPr>
          <w:rFonts w:ascii="Times New Roman" w:hAnsi="Times New Roman" w:cs="Times New Roman"/>
          <w:sz w:val="24"/>
          <w:szCs w:val="24"/>
        </w:rPr>
        <w:t>служащего, оно представляется не позднее следующего дня после ее устранения.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</w:t>
      </w:r>
      <w:r w:rsidR="005D4070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BB1DB8">
        <w:rPr>
          <w:rFonts w:ascii="Times New Roman" w:hAnsi="Times New Roman" w:cs="Times New Roman"/>
          <w:sz w:val="24"/>
          <w:szCs w:val="24"/>
        </w:rPr>
        <w:t>, образованн</w:t>
      </w:r>
      <w:r w:rsidR="008A3785">
        <w:rPr>
          <w:rFonts w:ascii="Times New Roman" w:hAnsi="Times New Roman" w:cs="Times New Roman"/>
          <w:sz w:val="24"/>
          <w:szCs w:val="24"/>
        </w:rPr>
        <w:t>ую</w:t>
      </w:r>
      <w:r w:rsidRPr="00BB1DB8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о бухгалтерском учете (далее - комиссия).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B1DB8">
        <w:rPr>
          <w:rFonts w:ascii="Times New Roman" w:hAnsi="Times New Roman" w:cs="Times New Roman"/>
          <w:sz w:val="24"/>
          <w:szCs w:val="24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 w:rsidR="005D4070">
        <w:rPr>
          <w:rFonts w:ascii="Times New Roman" w:hAnsi="Times New Roman" w:cs="Times New Roman"/>
          <w:sz w:val="24"/>
          <w:szCs w:val="24"/>
        </w:rPr>
        <w:t>лиц</w:t>
      </w:r>
      <w:r w:rsidR="008A3785">
        <w:rPr>
          <w:rFonts w:ascii="Times New Roman" w:hAnsi="Times New Roman" w:cs="Times New Roman"/>
          <w:sz w:val="24"/>
          <w:szCs w:val="24"/>
        </w:rPr>
        <w:t>ом</w:t>
      </w:r>
      <w:r w:rsidR="005D4070">
        <w:rPr>
          <w:rFonts w:ascii="Times New Roman" w:hAnsi="Times New Roman" w:cs="Times New Roman"/>
          <w:sz w:val="24"/>
          <w:szCs w:val="24"/>
        </w:rPr>
        <w:t>, замещающ</w:t>
      </w:r>
      <w:r w:rsidR="008A3785">
        <w:rPr>
          <w:rFonts w:ascii="Times New Roman" w:hAnsi="Times New Roman" w:cs="Times New Roman"/>
          <w:sz w:val="24"/>
          <w:szCs w:val="24"/>
        </w:rPr>
        <w:t>и</w:t>
      </w:r>
      <w:r w:rsidR="005D4070">
        <w:rPr>
          <w:rFonts w:ascii="Times New Roman" w:hAnsi="Times New Roman" w:cs="Times New Roman"/>
          <w:sz w:val="24"/>
          <w:szCs w:val="24"/>
        </w:rPr>
        <w:t>м муниципальную должность, муниципальн</w:t>
      </w:r>
      <w:r w:rsidR="008A3785">
        <w:rPr>
          <w:rFonts w:ascii="Times New Roman" w:hAnsi="Times New Roman" w:cs="Times New Roman"/>
          <w:sz w:val="24"/>
          <w:szCs w:val="24"/>
        </w:rPr>
        <w:t>ым</w:t>
      </w:r>
      <w:r w:rsidR="005D4070">
        <w:rPr>
          <w:rFonts w:ascii="Times New Roman" w:hAnsi="Times New Roman" w:cs="Times New Roman"/>
          <w:sz w:val="24"/>
          <w:szCs w:val="24"/>
        </w:rPr>
        <w:t xml:space="preserve"> </w:t>
      </w:r>
      <w:r w:rsidRPr="00BB1DB8">
        <w:rPr>
          <w:rFonts w:ascii="Times New Roman" w:hAnsi="Times New Roman" w:cs="Times New Roman"/>
          <w:sz w:val="24"/>
          <w:szCs w:val="24"/>
        </w:rPr>
        <w:t>служащ</w:t>
      </w:r>
      <w:r w:rsidR="008A3785">
        <w:rPr>
          <w:rFonts w:ascii="Times New Roman" w:hAnsi="Times New Roman" w:cs="Times New Roman"/>
          <w:sz w:val="24"/>
          <w:szCs w:val="24"/>
        </w:rPr>
        <w:t>и</w:t>
      </w:r>
      <w:r w:rsidRPr="00BB1DB8">
        <w:rPr>
          <w:rFonts w:ascii="Times New Roman" w:hAnsi="Times New Roman" w:cs="Times New Roman"/>
          <w:sz w:val="24"/>
          <w:szCs w:val="24"/>
        </w:rPr>
        <w:t>м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>8. Подарок, полученный лицом, замещающим муниципальную должность,</w:t>
      </w:r>
      <w:r w:rsidR="005D4070">
        <w:rPr>
          <w:rFonts w:ascii="Times New Roman" w:hAnsi="Times New Roman" w:cs="Times New Roman"/>
          <w:sz w:val="24"/>
          <w:szCs w:val="24"/>
        </w:rPr>
        <w:t xml:space="preserve"> муниципальным служащим </w:t>
      </w:r>
      <w:r w:rsidRPr="00BB1DB8">
        <w:rPr>
          <w:rFonts w:ascii="Times New Roman" w:hAnsi="Times New Roman" w:cs="Times New Roman"/>
          <w:sz w:val="24"/>
          <w:szCs w:val="24"/>
        </w:rPr>
        <w:t xml:space="preserve"> независимо от его стоимости, подлежит передаче на хранение в порядке, предусмотренном настоящ</w:t>
      </w:r>
      <w:r w:rsidR="00B2536B">
        <w:rPr>
          <w:rFonts w:ascii="Times New Roman" w:hAnsi="Times New Roman" w:cs="Times New Roman"/>
          <w:sz w:val="24"/>
          <w:szCs w:val="24"/>
        </w:rPr>
        <w:t>им</w:t>
      </w:r>
      <w:r w:rsidR="008A3785">
        <w:rPr>
          <w:rFonts w:ascii="Times New Roman" w:hAnsi="Times New Roman" w:cs="Times New Roman"/>
          <w:sz w:val="24"/>
          <w:szCs w:val="24"/>
        </w:rPr>
        <w:t xml:space="preserve"> П</w:t>
      </w:r>
      <w:r w:rsidRPr="00BB1DB8">
        <w:rPr>
          <w:rFonts w:ascii="Times New Roman" w:hAnsi="Times New Roman" w:cs="Times New Roman"/>
          <w:sz w:val="24"/>
          <w:szCs w:val="24"/>
        </w:rPr>
        <w:t>оложени</w:t>
      </w:r>
      <w:r w:rsidR="00B2536B">
        <w:rPr>
          <w:rFonts w:ascii="Times New Roman" w:hAnsi="Times New Roman" w:cs="Times New Roman"/>
          <w:sz w:val="24"/>
          <w:szCs w:val="24"/>
        </w:rPr>
        <w:t>ем</w:t>
      </w:r>
      <w:r w:rsidRPr="00BB1DB8">
        <w:rPr>
          <w:rFonts w:ascii="Times New Roman" w:hAnsi="Times New Roman" w:cs="Times New Roman"/>
          <w:sz w:val="24"/>
          <w:szCs w:val="24"/>
        </w:rPr>
        <w:t>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12. Лицо, замещающее </w:t>
      </w:r>
      <w:r w:rsidR="005D4070">
        <w:rPr>
          <w:rFonts w:ascii="Times New Roman" w:hAnsi="Times New Roman" w:cs="Times New Roman"/>
          <w:sz w:val="24"/>
          <w:szCs w:val="24"/>
        </w:rPr>
        <w:t>муниципа</w:t>
      </w:r>
      <w:r w:rsidRPr="00BB1DB8">
        <w:rPr>
          <w:rFonts w:ascii="Times New Roman" w:hAnsi="Times New Roman" w:cs="Times New Roman"/>
          <w:sz w:val="24"/>
          <w:szCs w:val="24"/>
        </w:rPr>
        <w:t xml:space="preserve">льную должность, </w:t>
      </w:r>
      <w:r w:rsidR="005D407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BB1DB8">
        <w:rPr>
          <w:rFonts w:ascii="Times New Roman" w:hAnsi="Times New Roman" w:cs="Times New Roman"/>
          <w:sz w:val="24"/>
          <w:szCs w:val="24"/>
        </w:rPr>
        <w:t xml:space="preserve">служащий, сдавшие подарок, </w:t>
      </w:r>
      <w:r w:rsidR="00B2536B">
        <w:rPr>
          <w:rFonts w:ascii="Times New Roman" w:hAnsi="Times New Roman" w:cs="Times New Roman"/>
          <w:sz w:val="24"/>
          <w:szCs w:val="24"/>
        </w:rPr>
        <w:t xml:space="preserve">могут его выкупить, направив в Комитет по управлению муниципальным имуществом города Пскова </w:t>
      </w:r>
      <w:r w:rsidRPr="00BB1DB8">
        <w:rPr>
          <w:rFonts w:ascii="Times New Roman" w:hAnsi="Times New Roman" w:cs="Times New Roman"/>
          <w:sz w:val="24"/>
          <w:szCs w:val="24"/>
        </w:rPr>
        <w:t>соответствующее заявление не позднее двух месяцев со дня сдачи подарка.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="00B2536B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города Пскова </w:t>
      </w:r>
      <w:r w:rsidRPr="00BB1DB8">
        <w:rPr>
          <w:rFonts w:ascii="Times New Roman" w:hAnsi="Times New Roman" w:cs="Times New Roman"/>
          <w:sz w:val="24"/>
          <w:szCs w:val="24"/>
        </w:rPr>
        <w:t xml:space="preserve"> в течение 3 месяцев со дня поступления заявления, указанного в пункте 12 настоящего </w:t>
      </w:r>
      <w:r w:rsidR="005D4070">
        <w:rPr>
          <w:rFonts w:ascii="Times New Roman" w:hAnsi="Times New Roman" w:cs="Times New Roman"/>
          <w:sz w:val="24"/>
          <w:szCs w:val="24"/>
        </w:rPr>
        <w:t>П</w:t>
      </w:r>
      <w:r w:rsidRPr="00BB1DB8">
        <w:rPr>
          <w:rFonts w:ascii="Times New Roman" w:hAnsi="Times New Roman" w:cs="Times New Roman"/>
          <w:sz w:val="24"/>
          <w:szCs w:val="24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пункте 12 настоящего </w:t>
      </w:r>
      <w:r w:rsidR="005D4070">
        <w:rPr>
          <w:rFonts w:ascii="Times New Roman" w:hAnsi="Times New Roman" w:cs="Times New Roman"/>
          <w:sz w:val="24"/>
          <w:szCs w:val="24"/>
        </w:rPr>
        <w:t>П</w:t>
      </w:r>
      <w:r w:rsidRPr="00BB1DB8">
        <w:rPr>
          <w:rFonts w:ascii="Times New Roman" w:hAnsi="Times New Roman" w:cs="Times New Roman"/>
          <w:sz w:val="24"/>
          <w:szCs w:val="24"/>
        </w:rPr>
        <w:t>оложения, может использоваться органом</w:t>
      </w:r>
      <w:r w:rsidR="005D407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BB1DB8">
        <w:rPr>
          <w:rFonts w:ascii="Times New Roman" w:hAnsi="Times New Roman" w:cs="Times New Roman"/>
          <w:sz w:val="24"/>
          <w:szCs w:val="24"/>
        </w:rPr>
        <w:t xml:space="preserve">с учетом заключения комиссии о целесообразности использования подарка для обеспечения деятельности </w:t>
      </w:r>
      <w:r w:rsidR="005D407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BB1DB8">
        <w:rPr>
          <w:rFonts w:ascii="Times New Roman" w:hAnsi="Times New Roman" w:cs="Times New Roman"/>
          <w:sz w:val="24"/>
          <w:szCs w:val="24"/>
        </w:rPr>
        <w:t>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15. В случае нецелесообразности использования подарка </w:t>
      </w:r>
      <w:r w:rsidR="00B2536B">
        <w:rPr>
          <w:rFonts w:ascii="Times New Roman" w:hAnsi="Times New Roman" w:cs="Times New Roman"/>
          <w:sz w:val="24"/>
          <w:szCs w:val="24"/>
        </w:rPr>
        <w:t>комиссией</w:t>
      </w:r>
      <w:r w:rsidRPr="00BB1DB8">
        <w:rPr>
          <w:rFonts w:ascii="Times New Roman" w:hAnsi="Times New Roman" w:cs="Times New Roman"/>
          <w:sz w:val="24"/>
          <w:szCs w:val="24"/>
        </w:rPr>
        <w:t xml:space="preserve"> принимается решение о реализации подарка</w:t>
      </w:r>
      <w:r w:rsidR="008A3785">
        <w:rPr>
          <w:rFonts w:ascii="Times New Roman" w:hAnsi="Times New Roman" w:cs="Times New Roman"/>
          <w:sz w:val="24"/>
          <w:szCs w:val="24"/>
        </w:rPr>
        <w:t xml:space="preserve">, которое направляется для </w:t>
      </w:r>
      <w:r w:rsidRPr="00BB1DB8">
        <w:rPr>
          <w:rFonts w:ascii="Times New Roman" w:hAnsi="Times New Roman" w:cs="Times New Roman"/>
          <w:sz w:val="24"/>
          <w:szCs w:val="24"/>
        </w:rPr>
        <w:t>проведени</w:t>
      </w:r>
      <w:r w:rsidR="008A3785">
        <w:rPr>
          <w:rFonts w:ascii="Times New Roman" w:hAnsi="Times New Roman" w:cs="Times New Roman"/>
          <w:sz w:val="24"/>
          <w:szCs w:val="24"/>
        </w:rPr>
        <w:t>я</w:t>
      </w:r>
      <w:r w:rsidRPr="00BB1DB8">
        <w:rPr>
          <w:rFonts w:ascii="Times New Roman" w:hAnsi="Times New Roman" w:cs="Times New Roman"/>
          <w:sz w:val="24"/>
          <w:szCs w:val="24"/>
        </w:rPr>
        <w:t xml:space="preserve"> оценки его стоимости </w:t>
      </w:r>
      <w:r w:rsidR="008A3785">
        <w:rPr>
          <w:rFonts w:ascii="Times New Roman" w:hAnsi="Times New Roman" w:cs="Times New Roman"/>
          <w:sz w:val="24"/>
          <w:szCs w:val="24"/>
        </w:rPr>
        <w:t>и</w:t>
      </w:r>
      <w:r w:rsidRPr="00BB1DB8">
        <w:rPr>
          <w:rFonts w:ascii="Times New Roman" w:hAnsi="Times New Roman" w:cs="Times New Roman"/>
          <w:sz w:val="24"/>
          <w:szCs w:val="24"/>
        </w:rPr>
        <w:t xml:space="preserve"> </w:t>
      </w:r>
      <w:r w:rsidR="008A3785">
        <w:rPr>
          <w:rFonts w:ascii="Times New Roman" w:hAnsi="Times New Roman" w:cs="Times New Roman"/>
          <w:sz w:val="24"/>
          <w:szCs w:val="24"/>
        </w:rPr>
        <w:t xml:space="preserve">дальнейшей </w:t>
      </w:r>
      <w:r w:rsidRPr="00BB1DB8">
        <w:rPr>
          <w:rFonts w:ascii="Times New Roman" w:hAnsi="Times New Roman" w:cs="Times New Roman"/>
          <w:sz w:val="24"/>
          <w:szCs w:val="24"/>
        </w:rPr>
        <w:t xml:space="preserve">реализации (выкупа) посредством проведения торгов в порядке, предусмотренном </w:t>
      </w:r>
      <w:r w:rsidRPr="00BB1DB8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</w:t>
      </w:r>
      <w:r w:rsidR="008A3785" w:rsidRPr="008A3785">
        <w:rPr>
          <w:rFonts w:ascii="Times New Roman" w:hAnsi="Times New Roman" w:cs="Times New Roman"/>
          <w:sz w:val="24"/>
          <w:szCs w:val="24"/>
        </w:rPr>
        <w:t xml:space="preserve"> </w:t>
      </w:r>
      <w:r w:rsidR="008A3785">
        <w:rPr>
          <w:rFonts w:ascii="Times New Roman" w:hAnsi="Times New Roman" w:cs="Times New Roman"/>
          <w:sz w:val="24"/>
          <w:szCs w:val="24"/>
        </w:rPr>
        <w:t>в</w:t>
      </w:r>
      <w:r w:rsidR="008A3785" w:rsidRPr="00BB1DB8">
        <w:rPr>
          <w:rFonts w:ascii="Times New Roman" w:hAnsi="Times New Roman" w:cs="Times New Roman"/>
          <w:sz w:val="24"/>
          <w:szCs w:val="24"/>
        </w:rPr>
        <w:t xml:space="preserve"> </w:t>
      </w:r>
      <w:r w:rsidR="008A3785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города Пскова</w:t>
      </w:r>
      <w:r w:rsidRPr="00BB1DB8">
        <w:rPr>
          <w:rFonts w:ascii="Times New Roman" w:hAnsi="Times New Roman" w:cs="Times New Roman"/>
          <w:sz w:val="24"/>
          <w:szCs w:val="24"/>
        </w:rPr>
        <w:t>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16. Оценка стоимости подарка для реализации (выкупа), предусмотренная пунктами 13 и 15 настоящего </w:t>
      </w:r>
      <w:r w:rsidR="005D4070">
        <w:rPr>
          <w:rFonts w:ascii="Times New Roman" w:hAnsi="Times New Roman" w:cs="Times New Roman"/>
          <w:sz w:val="24"/>
          <w:szCs w:val="24"/>
        </w:rPr>
        <w:t>П</w:t>
      </w:r>
      <w:r w:rsidRPr="00BB1DB8">
        <w:rPr>
          <w:rFonts w:ascii="Times New Roman" w:hAnsi="Times New Roman" w:cs="Times New Roman"/>
          <w:sz w:val="24"/>
          <w:szCs w:val="24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17. В случае если подарок не выкуплен или не реализован, </w:t>
      </w:r>
      <w:r w:rsidR="00B2536B">
        <w:rPr>
          <w:rFonts w:ascii="Times New Roman" w:hAnsi="Times New Roman" w:cs="Times New Roman"/>
          <w:sz w:val="24"/>
          <w:szCs w:val="24"/>
        </w:rPr>
        <w:t>комиссией</w:t>
      </w:r>
      <w:r w:rsidRPr="00BB1DB8">
        <w:rPr>
          <w:rFonts w:ascii="Times New Roman" w:hAnsi="Times New Roman" w:cs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>18. Средства, вырученные от реализации (выкупа) подарк</w:t>
      </w:r>
      <w:r w:rsidR="00FE0A4E">
        <w:rPr>
          <w:rFonts w:ascii="Times New Roman" w:hAnsi="Times New Roman" w:cs="Times New Roman"/>
          <w:sz w:val="24"/>
          <w:szCs w:val="24"/>
        </w:rPr>
        <w:t>а, зачисляются в доход бюджета города Пскова</w:t>
      </w:r>
      <w:r w:rsidRPr="00BB1DB8">
        <w:rPr>
          <w:rFonts w:ascii="Times New Roman" w:hAnsi="Times New Roman" w:cs="Times New Roman"/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27D" w:rsidRPr="00BB1DB8" w:rsidRDefault="00F5627D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DB8" w:rsidRPr="00BB1DB8" w:rsidRDefault="00B2536B" w:rsidP="00F5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6B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Pr="00B2536B">
        <w:rPr>
          <w:rFonts w:ascii="Times New Roman" w:hAnsi="Times New Roman" w:cs="Times New Roman"/>
          <w:sz w:val="24"/>
          <w:szCs w:val="24"/>
        </w:rPr>
        <w:tab/>
      </w:r>
      <w:r w:rsidRPr="00B2536B">
        <w:rPr>
          <w:rFonts w:ascii="Times New Roman" w:hAnsi="Times New Roman" w:cs="Times New Roman"/>
          <w:sz w:val="24"/>
          <w:szCs w:val="24"/>
        </w:rPr>
        <w:tab/>
      </w:r>
      <w:r w:rsidRPr="00B2536B">
        <w:rPr>
          <w:rFonts w:ascii="Times New Roman" w:hAnsi="Times New Roman" w:cs="Times New Roman"/>
          <w:sz w:val="24"/>
          <w:szCs w:val="24"/>
        </w:rPr>
        <w:tab/>
      </w:r>
      <w:r w:rsidRPr="00B2536B">
        <w:rPr>
          <w:rFonts w:ascii="Times New Roman" w:hAnsi="Times New Roman" w:cs="Times New Roman"/>
          <w:sz w:val="24"/>
          <w:szCs w:val="24"/>
        </w:rPr>
        <w:tab/>
      </w:r>
      <w:r w:rsidRPr="00B2536B">
        <w:rPr>
          <w:rFonts w:ascii="Times New Roman" w:hAnsi="Times New Roman" w:cs="Times New Roman"/>
          <w:sz w:val="24"/>
          <w:szCs w:val="24"/>
        </w:rPr>
        <w:tab/>
      </w:r>
      <w:r w:rsidRPr="00B2536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5627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B2536B">
        <w:rPr>
          <w:rFonts w:ascii="Times New Roman" w:hAnsi="Times New Roman" w:cs="Times New Roman"/>
          <w:sz w:val="24"/>
          <w:szCs w:val="24"/>
        </w:rPr>
        <w:t>И.Н.Цецерский</w:t>
      </w:r>
      <w:proofErr w:type="spellEnd"/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DB8" w:rsidRDefault="00BB1DB8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0A4E" w:rsidRDefault="00FE0A4E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0A4E" w:rsidRDefault="00FE0A4E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0A4E" w:rsidRDefault="00FE0A4E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0A4E" w:rsidRDefault="00FE0A4E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0A4E" w:rsidRDefault="00FE0A4E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0A4E" w:rsidRDefault="00FE0A4E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0A4E" w:rsidRDefault="00FE0A4E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0A4E" w:rsidRDefault="00FE0A4E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0A4E" w:rsidRDefault="00FE0A4E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0A4E" w:rsidRDefault="00FE0A4E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0A4E" w:rsidRDefault="00FE0A4E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0A4E" w:rsidRDefault="00FE0A4E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0A4E" w:rsidRDefault="00FE0A4E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0A4E" w:rsidRDefault="00FE0A4E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E0A4E" w:rsidRDefault="00FE0A4E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627D" w:rsidRDefault="00F5627D" w:rsidP="00FE0A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B1DB8" w:rsidRPr="00BB1DB8" w:rsidRDefault="00BB1DB8" w:rsidP="00FE0A4E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>Приложение</w:t>
      </w:r>
    </w:p>
    <w:p w:rsidR="00FE0A4E" w:rsidRDefault="00BB1DB8" w:rsidP="00FE0A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к </w:t>
      </w:r>
      <w:r w:rsidR="00FE0A4E">
        <w:rPr>
          <w:rFonts w:ascii="Times New Roman" w:hAnsi="Times New Roman" w:cs="Times New Roman"/>
          <w:sz w:val="24"/>
          <w:szCs w:val="24"/>
        </w:rPr>
        <w:t>П</w:t>
      </w:r>
      <w:r w:rsidRPr="00BB1DB8">
        <w:rPr>
          <w:rFonts w:ascii="Times New Roman" w:hAnsi="Times New Roman" w:cs="Times New Roman"/>
          <w:sz w:val="24"/>
          <w:szCs w:val="24"/>
        </w:rPr>
        <w:t xml:space="preserve">оложению </w:t>
      </w:r>
      <w:r w:rsidR="00FE0A4E" w:rsidRPr="00FE0A4E">
        <w:rPr>
          <w:rFonts w:ascii="Times New Roman" w:hAnsi="Times New Roman" w:cs="Times New Roman"/>
          <w:sz w:val="24"/>
          <w:szCs w:val="24"/>
        </w:rPr>
        <w:t>о сообщении</w:t>
      </w:r>
      <w:r w:rsidR="00FE0A4E">
        <w:rPr>
          <w:rFonts w:ascii="Times New Roman" w:hAnsi="Times New Roman" w:cs="Times New Roman"/>
          <w:sz w:val="24"/>
          <w:szCs w:val="24"/>
        </w:rPr>
        <w:t xml:space="preserve"> </w:t>
      </w:r>
      <w:r w:rsidR="00FE0A4E" w:rsidRPr="00FE0A4E">
        <w:rPr>
          <w:rFonts w:ascii="Times New Roman" w:hAnsi="Times New Roman" w:cs="Times New Roman"/>
          <w:sz w:val="24"/>
          <w:szCs w:val="24"/>
        </w:rPr>
        <w:t>лицами, замещающими</w:t>
      </w:r>
    </w:p>
    <w:p w:rsidR="00FE0A4E" w:rsidRDefault="00FE0A4E" w:rsidP="00FE0A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0A4E">
        <w:rPr>
          <w:rFonts w:ascii="Times New Roman" w:hAnsi="Times New Roman" w:cs="Times New Roman"/>
          <w:sz w:val="24"/>
          <w:szCs w:val="24"/>
        </w:rPr>
        <w:t xml:space="preserve">муниципальные должности,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A4E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FE0A4E" w:rsidRDefault="00FE0A4E" w:rsidP="00FE0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E0A4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A4E">
        <w:rPr>
          <w:rFonts w:ascii="Times New Roman" w:hAnsi="Times New Roman" w:cs="Times New Roman"/>
          <w:sz w:val="24"/>
          <w:szCs w:val="24"/>
        </w:rPr>
        <w:t xml:space="preserve">«Город Псков» </w:t>
      </w:r>
    </w:p>
    <w:p w:rsidR="00FE0A4E" w:rsidRDefault="00FE0A4E" w:rsidP="00FE0A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0A4E">
        <w:rPr>
          <w:rFonts w:ascii="Times New Roman" w:hAnsi="Times New Roman" w:cs="Times New Roman"/>
          <w:sz w:val="24"/>
          <w:szCs w:val="24"/>
        </w:rPr>
        <w:t>о получении подарка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A4E">
        <w:rPr>
          <w:rFonts w:ascii="Times New Roman" w:hAnsi="Times New Roman" w:cs="Times New Roman"/>
          <w:sz w:val="24"/>
          <w:szCs w:val="24"/>
        </w:rPr>
        <w:t>в связи с их должностным положением</w:t>
      </w:r>
    </w:p>
    <w:p w:rsidR="00FE0A4E" w:rsidRDefault="00FE0A4E" w:rsidP="00FE0A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0A4E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A4E">
        <w:rPr>
          <w:rFonts w:ascii="Times New Roman" w:hAnsi="Times New Roman" w:cs="Times New Roman"/>
          <w:sz w:val="24"/>
          <w:szCs w:val="24"/>
        </w:rPr>
        <w:t>исполнением ими служебных (должностных) обязанностей,</w:t>
      </w:r>
    </w:p>
    <w:p w:rsidR="00FE0A4E" w:rsidRDefault="00FE0A4E" w:rsidP="00FE0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E0A4E">
        <w:rPr>
          <w:rFonts w:ascii="Times New Roman" w:hAnsi="Times New Roman" w:cs="Times New Roman"/>
          <w:sz w:val="24"/>
          <w:szCs w:val="24"/>
        </w:rPr>
        <w:t>сдаче и оценке подарка, реализации (выкупе)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A4E">
        <w:rPr>
          <w:rFonts w:ascii="Times New Roman" w:hAnsi="Times New Roman" w:cs="Times New Roman"/>
          <w:sz w:val="24"/>
          <w:szCs w:val="24"/>
        </w:rPr>
        <w:t xml:space="preserve">зачислении средств, </w:t>
      </w:r>
    </w:p>
    <w:p w:rsidR="00FE0A4E" w:rsidRDefault="00FE0A4E" w:rsidP="00FE0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proofErr w:type="gramStart"/>
      <w:r w:rsidRPr="00FE0A4E"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 w:rsidRPr="00FE0A4E"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FE0A4E" w:rsidRDefault="00FE0A4E" w:rsidP="00FE0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A4E" w:rsidRPr="00BB1DB8" w:rsidRDefault="00FE0A4E" w:rsidP="00FE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B8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</w:t>
      </w:r>
    </w:p>
    <w:p w:rsidR="00FE0A4E" w:rsidRPr="00BB1DB8" w:rsidRDefault="00FE0A4E" w:rsidP="00FE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BB1DB8">
        <w:rPr>
          <w:rFonts w:ascii="Times New Roman" w:hAnsi="Times New Roman" w:cs="Times New Roman"/>
          <w:sz w:val="24"/>
          <w:szCs w:val="24"/>
        </w:rPr>
        <w:t>наименование уполномоченного структурного подразделения</w:t>
      </w:r>
      <w:proofErr w:type="gramEnd"/>
    </w:p>
    <w:p w:rsidR="00FE0A4E" w:rsidRPr="00BB1DB8" w:rsidRDefault="00FE0A4E" w:rsidP="00FE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1DB8">
        <w:rPr>
          <w:rFonts w:ascii="Times New Roman" w:hAnsi="Times New Roman" w:cs="Times New Roman"/>
          <w:sz w:val="24"/>
          <w:szCs w:val="24"/>
        </w:rPr>
        <w:t xml:space="preserve">  _________________________________________________</w:t>
      </w:r>
    </w:p>
    <w:p w:rsidR="00FE0A4E" w:rsidRPr="00BB1DB8" w:rsidRDefault="00FE0A4E" w:rsidP="00FE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1DB8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FE0A4E" w:rsidRPr="00BB1DB8" w:rsidRDefault="00FE0A4E" w:rsidP="00FE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1DB8">
        <w:rPr>
          <w:rFonts w:ascii="Times New Roman" w:hAnsi="Times New Roman" w:cs="Times New Roman"/>
          <w:sz w:val="24"/>
          <w:szCs w:val="24"/>
        </w:rPr>
        <w:t>от ______________________________________________</w:t>
      </w:r>
    </w:p>
    <w:p w:rsidR="00FE0A4E" w:rsidRPr="00BB1DB8" w:rsidRDefault="00FE0A4E" w:rsidP="00FE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1DB8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FE0A4E" w:rsidRPr="00BB1DB8" w:rsidRDefault="00FE0A4E" w:rsidP="00FE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B1DB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B1D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B1DB8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BB1DB8">
        <w:rPr>
          <w:rFonts w:ascii="Times New Roman" w:hAnsi="Times New Roman" w:cs="Times New Roman"/>
          <w:sz w:val="24"/>
          <w:szCs w:val="24"/>
        </w:rPr>
        <w:t>, занимаемая должность)</w:t>
      </w:r>
      <w:proofErr w:type="gramEnd"/>
    </w:p>
    <w:p w:rsidR="00FE0A4E" w:rsidRPr="00BB1DB8" w:rsidRDefault="00FE0A4E" w:rsidP="00FE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A4E" w:rsidRDefault="00FE0A4E" w:rsidP="00FE0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DB8" w:rsidRPr="00FE0A4E" w:rsidRDefault="00BB1DB8" w:rsidP="00B36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A4E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  <w:r w:rsidR="00FE0A4E" w:rsidRPr="00FE0A4E">
        <w:rPr>
          <w:rFonts w:ascii="Times New Roman" w:hAnsi="Times New Roman" w:cs="Times New Roman"/>
          <w:b/>
          <w:sz w:val="24"/>
          <w:szCs w:val="24"/>
        </w:rPr>
        <w:t xml:space="preserve"> от «______» ________________ 201__ г.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DB8" w:rsidRPr="00BB1DB8" w:rsidRDefault="00BB1DB8" w:rsidP="00FE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</w:t>
      </w:r>
    </w:p>
    <w:p w:rsidR="00BB1DB8" w:rsidRPr="00BB1DB8" w:rsidRDefault="00BB1DB8" w:rsidP="00FE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                                         (дата получения)</w:t>
      </w:r>
    </w:p>
    <w:p w:rsidR="00BB1DB8" w:rsidRPr="00BB1DB8" w:rsidRDefault="00BB1DB8" w:rsidP="00FE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BB1DB8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BB1DB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B1DB8">
        <w:rPr>
          <w:rFonts w:ascii="Times New Roman" w:hAnsi="Times New Roman" w:cs="Times New Roman"/>
          <w:sz w:val="24"/>
          <w:szCs w:val="24"/>
        </w:rPr>
        <w:t>)</w:t>
      </w:r>
      <w:r w:rsidR="00FE0A4E">
        <w:rPr>
          <w:rFonts w:ascii="Times New Roman" w:hAnsi="Times New Roman" w:cs="Times New Roman"/>
          <w:sz w:val="24"/>
          <w:szCs w:val="24"/>
        </w:rPr>
        <w:t xml:space="preserve"> на </w:t>
      </w:r>
      <w:r w:rsidRPr="00BB1DB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B1DB8" w:rsidRPr="00BB1DB8" w:rsidRDefault="00BB1DB8" w:rsidP="00FE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E0A4E">
        <w:rPr>
          <w:rFonts w:ascii="Times New Roman" w:hAnsi="Times New Roman" w:cs="Times New Roman"/>
          <w:sz w:val="24"/>
          <w:szCs w:val="24"/>
        </w:rPr>
        <w:t xml:space="preserve">  </w:t>
      </w:r>
      <w:r w:rsidRPr="00BB1D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DB8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r w:rsidR="00FE0A4E" w:rsidRPr="00FE0A4E">
        <w:rPr>
          <w:rFonts w:ascii="Times New Roman" w:hAnsi="Times New Roman" w:cs="Times New Roman"/>
          <w:sz w:val="24"/>
          <w:szCs w:val="24"/>
        </w:rPr>
        <w:t xml:space="preserve"> </w:t>
      </w:r>
      <w:r w:rsidR="00FE0A4E" w:rsidRPr="00BB1DB8">
        <w:rPr>
          <w:rFonts w:ascii="Times New Roman" w:hAnsi="Times New Roman" w:cs="Times New Roman"/>
          <w:sz w:val="24"/>
          <w:szCs w:val="24"/>
        </w:rPr>
        <w:t>командировки</w:t>
      </w:r>
      <w:r w:rsidR="00FE0A4E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B1DB8" w:rsidRPr="00BB1DB8" w:rsidRDefault="00BB1DB8" w:rsidP="00FE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E0A4E">
        <w:rPr>
          <w:rFonts w:ascii="Times New Roman" w:hAnsi="Times New Roman" w:cs="Times New Roman"/>
          <w:sz w:val="24"/>
          <w:szCs w:val="24"/>
        </w:rPr>
        <w:t xml:space="preserve">    </w:t>
      </w:r>
      <w:r w:rsidRPr="00BB1DB8">
        <w:rPr>
          <w:rFonts w:ascii="Times New Roman" w:hAnsi="Times New Roman" w:cs="Times New Roman"/>
          <w:sz w:val="24"/>
          <w:szCs w:val="24"/>
        </w:rPr>
        <w:t xml:space="preserve"> другого официального мероприятия, место и дата проведения)</w:t>
      </w:r>
    </w:p>
    <w:p w:rsidR="00FE0A4E" w:rsidRDefault="00FE0A4E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"/>
        <w:gridCol w:w="2545"/>
        <w:gridCol w:w="2119"/>
        <w:gridCol w:w="1573"/>
        <w:gridCol w:w="1666"/>
      </w:tblGrid>
      <w:tr w:rsidR="00A2693F" w:rsidTr="00A2693F">
        <w:trPr>
          <w:trHeight w:val="1074"/>
        </w:trPr>
        <w:tc>
          <w:tcPr>
            <w:tcW w:w="966" w:type="dxa"/>
            <w:vAlign w:val="center"/>
          </w:tcPr>
          <w:p w:rsidR="00A2693F" w:rsidRPr="00A2693F" w:rsidRDefault="00A2693F" w:rsidP="00A2693F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69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69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45" w:type="dxa"/>
            <w:vAlign w:val="center"/>
          </w:tcPr>
          <w:p w:rsidR="00A2693F" w:rsidRPr="00A2693F" w:rsidRDefault="00A2693F" w:rsidP="00A26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подарка</w:t>
            </w:r>
          </w:p>
        </w:tc>
        <w:tc>
          <w:tcPr>
            <w:tcW w:w="2119" w:type="dxa"/>
            <w:vAlign w:val="center"/>
          </w:tcPr>
          <w:p w:rsidR="00A2693F" w:rsidRPr="00A2693F" w:rsidRDefault="00A2693F" w:rsidP="00A26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573" w:type="dxa"/>
            <w:vAlign w:val="center"/>
          </w:tcPr>
          <w:p w:rsidR="00A2693F" w:rsidRPr="00A2693F" w:rsidRDefault="00A2693F" w:rsidP="00A26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предметов</w:t>
            </w:r>
          </w:p>
        </w:tc>
        <w:tc>
          <w:tcPr>
            <w:tcW w:w="1666" w:type="dxa"/>
            <w:vAlign w:val="center"/>
          </w:tcPr>
          <w:p w:rsidR="00A2693F" w:rsidRPr="00A2693F" w:rsidRDefault="00A2693F" w:rsidP="00A26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3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 рублях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2693F" w:rsidTr="00A2693F">
        <w:trPr>
          <w:trHeight w:val="330"/>
        </w:trPr>
        <w:tc>
          <w:tcPr>
            <w:tcW w:w="966" w:type="dxa"/>
          </w:tcPr>
          <w:p w:rsidR="00A2693F" w:rsidRDefault="00A2693F" w:rsidP="00A2693F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</w:tcPr>
          <w:p w:rsidR="00A2693F" w:rsidRDefault="00A2693F" w:rsidP="00FE0A4E">
            <w:pPr>
              <w:tabs>
                <w:tab w:val="left" w:pos="16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A2693F" w:rsidRDefault="00A2693F" w:rsidP="00FE0A4E">
            <w:pPr>
              <w:tabs>
                <w:tab w:val="left" w:pos="16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A2693F" w:rsidRDefault="00A2693F" w:rsidP="00FE0A4E">
            <w:pPr>
              <w:tabs>
                <w:tab w:val="left" w:pos="16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693F" w:rsidRDefault="00A2693F" w:rsidP="00FE0A4E">
            <w:pPr>
              <w:tabs>
                <w:tab w:val="left" w:pos="16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3F" w:rsidTr="00A2693F">
        <w:trPr>
          <w:trHeight w:val="315"/>
        </w:trPr>
        <w:tc>
          <w:tcPr>
            <w:tcW w:w="966" w:type="dxa"/>
          </w:tcPr>
          <w:p w:rsidR="00A2693F" w:rsidRDefault="00A2693F" w:rsidP="00A2693F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5" w:type="dxa"/>
          </w:tcPr>
          <w:p w:rsidR="00A2693F" w:rsidRDefault="00A2693F" w:rsidP="00FE0A4E">
            <w:pPr>
              <w:tabs>
                <w:tab w:val="left" w:pos="16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A2693F" w:rsidRDefault="00A2693F" w:rsidP="00FE0A4E">
            <w:pPr>
              <w:tabs>
                <w:tab w:val="left" w:pos="16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A2693F" w:rsidRDefault="00A2693F" w:rsidP="00FE0A4E">
            <w:pPr>
              <w:tabs>
                <w:tab w:val="left" w:pos="16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693F" w:rsidRDefault="00A2693F" w:rsidP="00FE0A4E">
            <w:pPr>
              <w:tabs>
                <w:tab w:val="left" w:pos="16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3F" w:rsidTr="00A2693F">
        <w:trPr>
          <w:trHeight w:val="354"/>
        </w:trPr>
        <w:tc>
          <w:tcPr>
            <w:tcW w:w="966" w:type="dxa"/>
          </w:tcPr>
          <w:p w:rsidR="00A2693F" w:rsidRDefault="00A2693F" w:rsidP="00A2693F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</w:tcPr>
          <w:p w:rsidR="00A2693F" w:rsidRDefault="00A2693F" w:rsidP="00FE0A4E">
            <w:pPr>
              <w:tabs>
                <w:tab w:val="left" w:pos="16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A2693F" w:rsidRDefault="00A2693F" w:rsidP="00FE0A4E">
            <w:pPr>
              <w:tabs>
                <w:tab w:val="left" w:pos="16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A2693F" w:rsidRDefault="00A2693F" w:rsidP="00FE0A4E">
            <w:pPr>
              <w:tabs>
                <w:tab w:val="left" w:pos="16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693F" w:rsidRDefault="00A2693F" w:rsidP="00FE0A4E">
            <w:pPr>
              <w:tabs>
                <w:tab w:val="left" w:pos="16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3F" w:rsidTr="00A2693F">
        <w:trPr>
          <w:trHeight w:val="363"/>
        </w:trPr>
        <w:tc>
          <w:tcPr>
            <w:tcW w:w="966" w:type="dxa"/>
          </w:tcPr>
          <w:p w:rsidR="00A2693F" w:rsidRDefault="00A2693F" w:rsidP="00A2693F">
            <w:pPr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45" w:type="dxa"/>
          </w:tcPr>
          <w:p w:rsidR="00A2693F" w:rsidRDefault="00A2693F" w:rsidP="00FE0A4E">
            <w:pPr>
              <w:tabs>
                <w:tab w:val="left" w:pos="16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A2693F" w:rsidRDefault="00A2693F" w:rsidP="00FE0A4E">
            <w:pPr>
              <w:tabs>
                <w:tab w:val="left" w:pos="16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A2693F" w:rsidRDefault="00A2693F" w:rsidP="00FE0A4E">
            <w:pPr>
              <w:tabs>
                <w:tab w:val="left" w:pos="16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2693F" w:rsidRDefault="00A2693F" w:rsidP="00FE0A4E">
            <w:pPr>
              <w:tabs>
                <w:tab w:val="left" w:pos="160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>Приложение: _____________________________________________ на _____ листах.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2693F">
        <w:rPr>
          <w:rFonts w:ascii="Times New Roman" w:hAnsi="Times New Roman" w:cs="Times New Roman"/>
          <w:sz w:val="24"/>
          <w:szCs w:val="24"/>
        </w:rPr>
        <w:t xml:space="preserve">    </w:t>
      </w:r>
      <w:r w:rsidRPr="00BB1DB8">
        <w:rPr>
          <w:rFonts w:ascii="Times New Roman" w:hAnsi="Times New Roman" w:cs="Times New Roman"/>
          <w:sz w:val="24"/>
          <w:szCs w:val="24"/>
        </w:rPr>
        <w:t xml:space="preserve">       (наименование документа)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уведомление         _________  _________________________  </w:t>
      </w:r>
      <w:r w:rsidR="00A2693F">
        <w:rPr>
          <w:rFonts w:ascii="Times New Roman" w:hAnsi="Times New Roman" w:cs="Times New Roman"/>
          <w:sz w:val="24"/>
          <w:szCs w:val="24"/>
        </w:rPr>
        <w:t>«</w:t>
      </w:r>
      <w:r w:rsidRPr="00BB1DB8">
        <w:rPr>
          <w:rFonts w:ascii="Times New Roman" w:hAnsi="Times New Roman" w:cs="Times New Roman"/>
          <w:sz w:val="24"/>
          <w:szCs w:val="24"/>
        </w:rPr>
        <w:t>__</w:t>
      </w:r>
      <w:r w:rsidR="00A2693F">
        <w:rPr>
          <w:rFonts w:ascii="Times New Roman" w:hAnsi="Times New Roman" w:cs="Times New Roman"/>
          <w:sz w:val="24"/>
          <w:szCs w:val="24"/>
        </w:rPr>
        <w:t>___»</w:t>
      </w:r>
      <w:r w:rsidRPr="00BB1DB8">
        <w:rPr>
          <w:rFonts w:ascii="Times New Roman" w:hAnsi="Times New Roman" w:cs="Times New Roman"/>
          <w:sz w:val="24"/>
          <w:szCs w:val="24"/>
        </w:rPr>
        <w:t xml:space="preserve"> ___</w:t>
      </w:r>
      <w:r w:rsidR="00A2693F">
        <w:rPr>
          <w:rFonts w:ascii="Times New Roman" w:hAnsi="Times New Roman" w:cs="Times New Roman"/>
          <w:sz w:val="24"/>
          <w:szCs w:val="24"/>
        </w:rPr>
        <w:t>__</w:t>
      </w:r>
      <w:r w:rsidRPr="00BB1DB8">
        <w:rPr>
          <w:rFonts w:ascii="Times New Roman" w:hAnsi="Times New Roman" w:cs="Times New Roman"/>
          <w:sz w:val="24"/>
          <w:szCs w:val="24"/>
        </w:rPr>
        <w:t>_ 20__ г.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2693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1DB8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A2693F">
        <w:rPr>
          <w:rFonts w:ascii="Times New Roman" w:hAnsi="Times New Roman" w:cs="Times New Roman"/>
          <w:sz w:val="24"/>
          <w:szCs w:val="24"/>
        </w:rPr>
        <w:t xml:space="preserve">   </w:t>
      </w:r>
      <w:r w:rsidRPr="00BB1DB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>Лицо,     принявшее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2693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B1DB8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</w:t>
      </w:r>
      <w:r w:rsidR="00A2693F">
        <w:rPr>
          <w:rFonts w:ascii="Times New Roman" w:hAnsi="Times New Roman" w:cs="Times New Roman"/>
          <w:sz w:val="24"/>
          <w:szCs w:val="24"/>
        </w:rPr>
        <w:t xml:space="preserve"> уведомлений __________________    «</w:t>
      </w:r>
      <w:r w:rsidRPr="00BB1DB8">
        <w:rPr>
          <w:rFonts w:ascii="Times New Roman" w:hAnsi="Times New Roman" w:cs="Times New Roman"/>
          <w:sz w:val="24"/>
          <w:szCs w:val="24"/>
        </w:rPr>
        <w:t>__</w:t>
      </w:r>
      <w:r w:rsidR="00A2693F">
        <w:rPr>
          <w:rFonts w:ascii="Times New Roman" w:hAnsi="Times New Roman" w:cs="Times New Roman"/>
          <w:sz w:val="24"/>
          <w:szCs w:val="24"/>
        </w:rPr>
        <w:t>»</w:t>
      </w:r>
      <w:r w:rsidRPr="00BB1DB8">
        <w:rPr>
          <w:rFonts w:ascii="Times New Roman" w:hAnsi="Times New Roman" w:cs="Times New Roman"/>
          <w:sz w:val="24"/>
          <w:szCs w:val="24"/>
        </w:rPr>
        <w:t xml:space="preserve"> _________ 20</w:t>
      </w:r>
      <w:r w:rsidR="00A2693F">
        <w:rPr>
          <w:rFonts w:ascii="Times New Roman" w:hAnsi="Times New Roman" w:cs="Times New Roman"/>
          <w:sz w:val="24"/>
          <w:szCs w:val="24"/>
        </w:rPr>
        <w:t>1</w:t>
      </w:r>
      <w:r w:rsidRPr="00BB1DB8">
        <w:rPr>
          <w:rFonts w:ascii="Times New Roman" w:hAnsi="Times New Roman" w:cs="Times New Roman"/>
          <w:sz w:val="24"/>
          <w:szCs w:val="24"/>
        </w:rPr>
        <w:t>__ г.</w:t>
      </w: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DB8" w:rsidRPr="00BB1DB8" w:rsidRDefault="00BB1DB8" w:rsidP="00BB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B1DB8" w:rsidRDefault="00BB1DB8" w:rsidP="006E0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B8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sectPr w:rsidR="00BB1DB8" w:rsidSect="00F562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8E"/>
    <w:rsid w:val="000113CC"/>
    <w:rsid w:val="00143B83"/>
    <w:rsid w:val="001B2C95"/>
    <w:rsid w:val="00274663"/>
    <w:rsid w:val="002F4984"/>
    <w:rsid w:val="003461E9"/>
    <w:rsid w:val="003E7462"/>
    <w:rsid w:val="0044602F"/>
    <w:rsid w:val="00571990"/>
    <w:rsid w:val="005B1720"/>
    <w:rsid w:val="005D4070"/>
    <w:rsid w:val="006144FA"/>
    <w:rsid w:val="00693E67"/>
    <w:rsid w:val="006E00B1"/>
    <w:rsid w:val="00800F19"/>
    <w:rsid w:val="00840D13"/>
    <w:rsid w:val="008A3785"/>
    <w:rsid w:val="00A1378E"/>
    <w:rsid w:val="00A2693F"/>
    <w:rsid w:val="00AC78DD"/>
    <w:rsid w:val="00B2536B"/>
    <w:rsid w:val="00B3606F"/>
    <w:rsid w:val="00B37801"/>
    <w:rsid w:val="00BB1DB8"/>
    <w:rsid w:val="00BF0496"/>
    <w:rsid w:val="00C51559"/>
    <w:rsid w:val="00CB274D"/>
    <w:rsid w:val="00D20F1B"/>
    <w:rsid w:val="00D2684A"/>
    <w:rsid w:val="00D61573"/>
    <w:rsid w:val="00E619EC"/>
    <w:rsid w:val="00EB6150"/>
    <w:rsid w:val="00F5627D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Ария А. Голубева</cp:lastModifiedBy>
  <cp:revision>29</cp:revision>
  <cp:lastPrinted>2014-05-07T09:02:00Z</cp:lastPrinted>
  <dcterms:created xsi:type="dcterms:W3CDTF">2014-03-13T13:24:00Z</dcterms:created>
  <dcterms:modified xsi:type="dcterms:W3CDTF">2014-05-07T10:43:00Z</dcterms:modified>
</cp:coreProperties>
</file>